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60" w:lineRule="exact"/>
        <w:jc w:val="center"/>
        <w:rPr>
          <w:b/>
          <w:bCs/>
          <w:sz w:val="32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老龄事业与产业研究中心</w:t>
      </w:r>
      <w:bookmarkStart w:id="0" w:name="_GoBack"/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2019年度课题申报指南</w:t>
      </w:r>
    </w:p>
    <w:bookmarkEnd w:id="0"/>
    <w:p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color w:val="21212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212121"/>
          <w:kern w:val="0"/>
          <w:sz w:val="28"/>
          <w:szCs w:val="28"/>
        </w:rPr>
        <w:t>为充分尊重学术研究规律，鼓励自主创新，本项目指南所列条目仅为申报者提供选题依据，项目申报者既可从申报指南中选择题目，也可结合自身研究专长、兴趣和当前老龄事业与产业研究领域中的重点热点问题，从恰当的角度自行设计选题进行申报。课题名称的表述应科学、严谨、规范、简明。从国家和区域经济社会发展的实际需要出发，结合中心学术凝练方向，经中心学术委员会拟定并审议通过，现将老龄事业与产业研究中心2019年度科研项目申报指南公布如下：</w:t>
      </w:r>
    </w:p>
    <w:p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color w:val="21212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212121"/>
          <w:kern w:val="0"/>
          <w:sz w:val="28"/>
          <w:szCs w:val="28"/>
        </w:rPr>
        <w:t>1.面向老龄化的技术与服务体系创新研究；</w:t>
      </w:r>
    </w:p>
    <w:p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color w:val="21212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212121"/>
          <w:kern w:val="0"/>
          <w:sz w:val="28"/>
          <w:szCs w:val="28"/>
        </w:rPr>
        <w:t>2.老龄产业关键技术导航与发展研究；</w:t>
      </w:r>
    </w:p>
    <w:p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color w:val="21212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212121"/>
          <w:kern w:val="0"/>
          <w:sz w:val="28"/>
          <w:szCs w:val="28"/>
        </w:rPr>
        <w:t>3.我国老年人就业社会支持机制研究；</w:t>
      </w:r>
    </w:p>
    <w:p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color w:val="21212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212121"/>
          <w:kern w:val="0"/>
          <w:sz w:val="28"/>
          <w:szCs w:val="28"/>
        </w:rPr>
        <w:t>4.老年人社会参与政策研究；</w:t>
      </w:r>
    </w:p>
    <w:p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color w:val="21212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212121"/>
          <w:kern w:val="0"/>
          <w:sz w:val="28"/>
          <w:szCs w:val="28"/>
        </w:rPr>
        <w:t>5.四川省养老服务业高质量发展研究;</w:t>
      </w:r>
    </w:p>
    <w:p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color w:val="21212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212121"/>
          <w:kern w:val="0"/>
          <w:sz w:val="28"/>
          <w:szCs w:val="28"/>
        </w:rPr>
        <w:t>6养老服务业人才培养机制研究;</w:t>
      </w:r>
    </w:p>
    <w:p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color w:val="21212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212121"/>
          <w:kern w:val="0"/>
          <w:sz w:val="28"/>
          <w:szCs w:val="28"/>
        </w:rPr>
        <w:t>7.基于需求差异性的老年长期照护研究;</w:t>
      </w:r>
    </w:p>
    <w:p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color w:val="21212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212121"/>
          <w:kern w:val="0"/>
          <w:sz w:val="28"/>
          <w:szCs w:val="28"/>
        </w:rPr>
        <w:t>8.积极老龄化背景下老年人力资源再开发研究;</w:t>
      </w:r>
    </w:p>
    <w:p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color w:val="21212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212121"/>
          <w:kern w:val="0"/>
          <w:sz w:val="28"/>
          <w:szCs w:val="28"/>
        </w:rPr>
        <w:t>9.四川省城乡老龄人口健康的影响因素研究;</w:t>
      </w:r>
    </w:p>
    <w:p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color w:val="21212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212121"/>
          <w:kern w:val="0"/>
          <w:sz w:val="28"/>
          <w:szCs w:val="28"/>
        </w:rPr>
        <w:t>10.四川农村社会变迁与养老服务供给创新研究；</w:t>
      </w:r>
    </w:p>
    <w:p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color w:val="21212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212121"/>
          <w:kern w:val="0"/>
          <w:sz w:val="28"/>
          <w:szCs w:val="28"/>
        </w:rPr>
        <w:t>11.城市农民工基本养老服务的携带性研究；</w:t>
      </w:r>
    </w:p>
    <w:p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color w:val="21212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212121"/>
          <w:kern w:val="0"/>
          <w:sz w:val="28"/>
          <w:szCs w:val="28"/>
        </w:rPr>
        <w:t>12.大数据背景下我国社区智慧养老服务的实现机制研。</w:t>
      </w:r>
    </w:p>
    <w:p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color w:val="212121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A3B96"/>
    <w:rsid w:val="250A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2019-04-11T03:28:00Z</dcterms:created>
  <dc:creator>lb</dc:creator>
  <cp:lastModifiedBy>lb</cp:lastModifiedBy>
  <dcterms:modified xsi:type="dcterms:W3CDTF">2019-04-11T03:28:52Z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