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440" w:lineRule="exact"/>
        <w:jc w:val="center"/>
        <w:rPr>
          <w:rFonts w:ascii="方正小标宋简体" w:hAnsi="宋体" w:eastAsia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四川省农村发展研究中心</w:t>
      </w:r>
      <w:r>
        <w:rPr>
          <w:rFonts w:ascii="方正小标宋简体" w:eastAsia="方正小标宋简体" w:cs="方正小标宋简体"/>
          <w:b/>
          <w:bCs/>
          <w:sz w:val="36"/>
          <w:szCs w:val="36"/>
        </w:rPr>
        <w:t>2019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年项目申报指南</w:t>
      </w:r>
    </w:p>
    <w:p>
      <w:pPr>
        <w:spacing w:line="360" w:lineRule="auto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项目指南所列条目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仅</w:t>
      </w:r>
      <w:r>
        <w:rPr>
          <w:rFonts w:hint="eastAsia" w:ascii="仿宋" w:hAnsi="仿宋" w:eastAsia="仿宋" w:cs="仿宋"/>
          <w:kern w:val="0"/>
          <w:sz w:val="28"/>
          <w:szCs w:val="28"/>
        </w:rPr>
        <w:t>为申报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重点项目</w:t>
      </w:r>
      <w:r>
        <w:rPr>
          <w:rFonts w:hint="eastAsia" w:ascii="仿宋" w:hAnsi="仿宋" w:eastAsia="仿宋" w:cs="仿宋"/>
          <w:kern w:val="0"/>
          <w:sz w:val="28"/>
          <w:szCs w:val="28"/>
        </w:rPr>
        <w:t>提供选题依据，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申报一般项目和青年项目</w:t>
      </w:r>
      <w:r>
        <w:rPr>
          <w:rFonts w:hint="eastAsia" w:ascii="仿宋" w:hAnsi="仿宋" w:eastAsia="仿宋" w:cs="仿宋"/>
          <w:kern w:val="0"/>
          <w:sz w:val="28"/>
          <w:szCs w:val="28"/>
        </w:rPr>
        <w:t>可以自拟题目。经中心学术委员会拟定并审议通过，中心</w:t>
      </w:r>
      <w:r>
        <w:rPr>
          <w:rFonts w:ascii="仿宋" w:hAnsi="仿宋" w:eastAsia="仿宋" w:cs="仿宋"/>
          <w:kern w:val="0"/>
          <w:sz w:val="28"/>
          <w:szCs w:val="28"/>
        </w:rPr>
        <w:t>2019</w:t>
      </w:r>
      <w:r>
        <w:rPr>
          <w:rFonts w:hint="eastAsia" w:ascii="仿宋" w:hAnsi="仿宋" w:eastAsia="仿宋" w:cs="仿宋"/>
          <w:kern w:val="0"/>
          <w:sz w:val="28"/>
          <w:szCs w:val="28"/>
        </w:rPr>
        <w:t>年度项目的重点研究课题或方向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乡村振兴背景下四川农村集体建设用地改革研究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四川农村集体经济发展研究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3.四川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现代农业产业体系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4.四川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现代农业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生产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体系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5.四川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现代农业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经营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体系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政府、企业、农户多主体行为与农业绿色发展研究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pacing w:val="-6"/>
          <w:sz w:val="28"/>
          <w:szCs w:val="28"/>
        </w:rPr>
        <w:t>新型经营主体促进小农户与现代农业有机衔接的机制创新研究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>农业职业经理人队伍提升发展的路径与对策研究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促进四川城乡要素流动机制研究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四川农村劳动力流动与转移人口市民化机制研究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.农村人才回流路径及机制探究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乡村振兴战略中的四川农村社区治理现代化研究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新型农村社区的空间重构与治理路径研究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四川农村绿色发展与补偿机制研究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四川重要流域多元化生态补偿机制研究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四川农村生态建设与环境治理机制研究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 xml:space="preserve">农村人居环境整治问题及路径研究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四川深度贫困区农户生计可持续发展模式与实现路径研究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农村金融服务四川乡村振兴战略研究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>农民合作社财政资金支持方式与使用绩效研究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.服务乡村振兴战略的农业保险创新研究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.乡村振兴背景下农业农村投融资体制机制创新研究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A5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fndxh</cp:lastModifiedBy>
  <dcterms:modified xsi:type="dcterms:W3CDTF">2019-01-21T00:56:57Z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